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51496D">
      <w:hyperlink r:id="rId4" w:history="1">
        <w:r w:rsidRPr="0051329C">
          <w:rPr>
            <w:rStyle w:val="Hypertextovodkaz"/>
          </w:rPr>
          <w:t>https://www.idnes.cz/zpravy/domaci/kviz-vezensky-argot-slang-zlocin-a-trest.A170118_095914_domaci_cen/tisk</w:t>
        </w:r>
      </w:hyperlink>
    </w:p>
    <w:p w:rsidR="0051496D" w:rsidRDefault="0051496D"/>
    <w:sectPr w:rsidR="0051496D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496D"/>
    <w:rsid w:val="0051496D"/>
    <w:rsid w:val="00C87542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4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dnes.cz/zpravy/domaci/kviz-vezensky-argot-slang-zlocin-a-trest.A170118_095914_domaci_cen/ti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Company>ATC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2023-09-14T08:15:00Z</dcterms:created>
  <dcterms:modified xsi:type="dcterms:W3CDTF">2023-09-14T08:15:00Z</dcterms:modified>
</cp:coreProperties>
</file>